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59" w:rsidRDefault="00434159" w:rsidP="00434159">
      <w:pPr>
        <w:pStyle w:val="Ttulo1"/>
        <w:shd w:val="clear" w:color="auto" w:fill="FFFFFF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Insulinas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Tipo de insulinas: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Más Lenta: se utiliza para “quemar” la glucosa procedente del hígado. Son ejemplos la insulina tipo NPH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Humulina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 e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Insulatard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®),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glargina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Lantus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®,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Abasaglar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®),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detemir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Levemir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®) 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degludec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Tresiba</w:t>
      </w:r>
      <w:proofErr w:type="spellEnd"/>
      <w:r>
        <w:rPr>
          <w:rFonts w:ascii="Arial" w:hAnsi="Arial" w:cs="Arial"/>
          <w:color w:val="282828"/>
          <w:sz w:val="18"/>
          <w:szCs w:val="18"/>
        </w:rPr>
        <w:t>®).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 xml:space="preserve">Más Rápida: se utiliza para “quemar” </w:t>
      </w:r>
      <w:proofErr w:type="gramStart"/>
      <w:r>
        <w:rPr>
          <w:rFonts w:ascii="Arial" w:hAnsi="Arial" w:cs="Arial"/>
          <w:color w:val="282828"/>
          <w:sz w:val="18"/>
          <w:szCs w:val="18"/>
        </w:rPr>
        <w:t>la glucosa procedentes</w:t>
      </w:r>
      <w:proofErr w:type="gramEnd"/>
      <w:r>
        <w:rPr>
          <w:rFonts w:ascii="Arial" w:hAnsi="Arial" w:cs="Arial"/>
          <w:color w:val="282828"/>
          <w:sz w:val="18"/>
          <w:szCs w:val="18"/>
        </w:rPr>
        <w:t xml:space="preserve"> de los alimentos. Son ejemplos la insulina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lispro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Humalog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®),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aspart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Novorapid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®) 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glusina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Apidra</w:t>
      </w:r>
      <w:proofErr w:type="spellEnd"/>
      <w:r>
        <w:rPr>
          <w:rFonts w:ascii="Arial" w:hAnsi="Arial" w:cs="Arial"/>
          <w:color w:val="282828"/>
          <w:sz w:val="18"/>
          <w:szCs w:val="18"/>
        </w:rPr>
        <w:t>®).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6" w:tgtFrame="_blank" w:tooltip="Tipos Insulina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Tipos de insulina pediátrica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18" name="Imagen 1" descr="Se abre en ventana nueva">
                <a:hlinkClick xmlns:a="http://schemas.openxmlformats.org/drawingml/2006/main" r:id="rId6" tgtFrame="&quot;_blank&quot;" tooltip="&quot;Tipos Insulina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e abre en ventana nueva">
                        <a:hlinkClick r:id="rId6" tgtFrame="&quot;_blank&quot;" tooltip="&quot;Tipos Insulina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 xml:space="preserve">1.3Mb Por Dr. Jerónimo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>. Actualizado a Mayo 2021.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Almacenamiento de la insulina: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Es importante que sepas que la insulina puede perder eficacia si no es almacenada de forma adecuada, generalmente la insulina debe guardarse en el refrigerador cuando no la hemos abierto (entre 2 y 8 ºC). Coloca los frascos o los cartuchos en el área destinada a la leche, el yogurt o las verduras. Asegúrate de que tu insulina no se caiga o se congele.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Más consejos de ALMACENAMIENTO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Consejos de conservación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7" name="Imagen 2" descr="En formato Word">
              <a:hlinkClick xmlns:a="http://schemas.openxmlformats.org/drawingml/2006/main" r:id="rId8" tgtFrame="&quot;_blank&quot;" tooltip="&quot;Conservación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 formato Word">
                      <a:hlinkClick r:id="rId8" tgtFrame="&quot;_blank&quot;" tooltip="&quot;Conservación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" name="Imagen 3" descr="En formato PDF">
              <a:hlinkClick xmlns:a="http://schemas.openxmlformats.org/drawingml/2006/main" r:id="rId10" tgtFrame="&quot;_blank&quot;" tooltip="&quot;Conservación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formato PDF">
                      <a:hlinkClick r:id="rId10" tgtFrame="&quot;_blank&quot;" tooltip="&quot;Conservación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 xml:space="preserve"> 0.04Mb) Por Dr. Jerónimo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>. Actualizado a Mayo 2021.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Apariencia de la insulina: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 xml:space="preserve">Las insulinas ultrarrápidas como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lispro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Humalog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®),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aspart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82828"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Novorapid</w:t>
      </w:r>
      <w:proofErr w:type="spellEnd"/>
      <w:proofErr w:type="gramEnd"/>
      <w:r>
        <w:rPr>
          <w:rFonts w:ascii="Arial" w:hAnsi="Arial" w:cs="Arial"/>
          <w:color w:val="282828"/>
          <w:sz w:val="18"/>
          <w:szCs w:val="18"/>
        </w:rPr>
        <w:t xml:space="preserve">®) 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glusina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Apidra</w:t>
      </w:r>
      <w:proofErr w:type="spellEnd"/>
      <w:r>
        <w:rPr>
          <w:rFonts w:ascii="Arial" w:hAnsi="Arial" w:cs="Arial"/>
          <w:color w:val="282828"/>
          <w:sz w:val="18"/>
          <w:szCs w:val="18"/>
        </w:rPr>
        <w:t>®), rápida o regular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Actrapid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®) y de acción prolongada como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glargina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Lantus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®,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Abasaglar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 ) ,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degludec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Tresiba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®) 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detemir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Levemir</w:t>
      </w:r>
      <w:proofErr w:type="spellEnd"/>
      <w:r>
        <w:rPr>
          <w:rFonts w:ascii="Arial" w:hAnsi="Arial" w:cs="Arial"/>
          <w:color w:val="282828"/>
          <w:sz w:val="18"/>
          <w:szCs w:val="18"/>
        </w:rPr>
        <w:t>®), son cristalinas, totalmente transparentes. No deben verse turbias, amarillentas o tener partículas flotantes.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Las insulinas intermedias (NPH (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Humulina</w:t>
      </w:r>
      <w:proofErr w:type="spellEnd"/>
      <w:r>
        <w:rPr>
          <w:rFonts w:ascii="Arial" w:hAnsi="Arial" w:cs="Arial"/>
          <w:color w:val="282828"/>
          <w:sz w:val="18"/>
          <w:szCs w:val="18"/>
        </w:rPr>
        <w:t xml:space="preserve">® e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Insulatard</w:t>
      </w:r>
      <w:proofErr w:type="spellEnd"/>
      <w:r>
        <w:rPr>
          <w:rFonts w:ascii="Arial" w:hAnsi="Arial" w:cs="Arial"/>
          <w:color w:val="282828"/>
          <w:sz w:val="18"/>
          <w:szCs w:val="18"/>
        </w:rPr>
        <w:t>®)) y las mezclas tienen un aspecto lechoso y cuando están en reposo en los frascos debe apreciarse claramente una separación: en la parte de abajo observarás una sustancia blanca, más densa y en la parte de arriba son cristalinas sin partículas flotando o pegadas a las paredes del frasco. Cuando las rotes en tus manos para mezclarlas antes de inyectarte la insulina debe quedar una sustancia uniforme, sin grumos o burbujas. Si notas algún cambio de color o apariencia en la insulina, desecha el frasco o cartucho y adquiere uno nuevo.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Más consejos para VIAJES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Consejos de viajes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4" name="Imagen 4" descr="En formato Word">
              <a:hlinkClick xmlns:a="http://schemas.openxmlformats.org/drawingml/2006/main" r:id="rId12" tgtFrame="&quot;_blank&quot;" tooltip="&quot;Consejos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 formato Word">
                      <a:hlinkClick r:id="rId12" tgtFrame="&quot;_blank&quot;" tooltip="&quot;Consejos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5" name="Imagen 5" descr="En formato PDF">
              <a:hlinkClick xmlns:a="http://schemas.openxmlformats.org/drawingml/2006/main" r:id="rId13" tgtFrame="&quot;_blank&quot;" tooltip="&quot;Consejos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 formato PDF">
                      <a:hlinkClick r:id="rId13" tgtFrame="&quot;_blank&quot;" tooltip="&quot;Consejos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 xml:space="preserve"> 0.04Mb) Por Dr. Jerónimo </w:t>
      </w:r>
      <w:proofErr w:type="spellStart"/>
      <w:r>
        <w:rPr>
          <w:rFonts w:ascii="Arial" w:hAnsi="Arial" w:cs="Arial"/>
          <w:color w:val="282828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282828"/>
          <w:sz w:val="18"/>
          <w:szCs w:val="18"/>
        </w:rPr>
        <w:t>. Actualizado a Mayo 2021.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b/>
          <w:bCs/>
          <w:color w:val="282828"/>
          <w:sz w:val="18"/>
          <w:szCs w:val="18"/>
        </w:rPr>
        <w:t>Taller de insulina pediátrica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hyperlink r:id="rId14" w:tgtFrame="_blank" w:tooltip="Taller " w:history="1">
        <w:r>
          <w:rPr>
            <w:rStyle w:val="Hipervnculo"/>
            <w:rFonts w:ascii="Arial" w:hAnsi="Arial" w:cs="Arial"/>
            <w:color w:val="A41E0A"/>
            <w:sz w:val="18"/>
            <w:szCs w:val="18"/>
          </w:rPr>
          <w:t>Taller </w:t>
        </w:r>
        <w:r>
          <w:rPr>
            <w:rFonts w:ascii="Arial" w:hAnsi="Arial" w:cs="Arial"/>
            <w:noProof/>
            <w:color w:val="A41E0A"/>
            <w:sz w:val="18"/>
            <w:szCs w:val="18"/>
          </w:rPr>
          <w:drawing>
            <wp:inline distT="0" distB="0" distL="0" distR="0">
              <wp:extent cx="180975" cy="180975"/>
              <wp:effectExtent l="19050" t="0" r="9525" b="0"/>
              <wp:docPr id="6" name="Imagen 6" descr="Se abre en ventana nueva">
                <a:hlinkClick xmlns:a="http://schemas.openxmlformats.org/drawingml/2006/main" r:id="rId14" tgtFrame="&quot;_blank&quot;" tooltip="&quot;Taller 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Se abre en ventana nueva">
                        <a:hlinkClick r:id="rId14" tgtFrame="&quot;_blank&quot;" tooltip="&quot;Taller 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color w:val="282828"/>
          <w:sz w:val="18"/>
          <w:szCs w:val="18"/>
        </w:rPr>
        <w:t> 2.2Mb Por Juana Ramos (DUE). Actualizado a Mayo 2021.</w:t>
      </w:r>
    </w:p>
    <w:p w:rsidR="00434159" w:rsidRDefault="00434159" w:rsidP="00434159">
      <w:pPr>
        <w:pStyle w:val="NormalWeb"/>
        <w:shd w:val="clear" w:color="auto" w:fill="FFFFFF"/>
        <w:spacing w:before="75" w:beforeAutospacing="0" w:after="300" w:afterAutospacing="0"/>
        <w:rPr>
          <w:rFonts w:ascii="Arial" w:hAnsi="Arial" w:cs="Arial"/>
          <w:color w:val="282828"/>
          <w:sz w:val="18"/>
          <w:szCs w:val="18"/>
        </w:rPr>
      </w:pPr>
      <w:r>
        <w:rPr>
          <w:rFonts w:ascii="Arial" w:hAnsi="Arial" w:cs="Arial"/>
          <w:color w:val="282828"/>
          <w:sz w:val="18"/>
          <w:szCs w:val="18"/>
        </w:rPr>
        <w:t>Nota aclaratoria: los nombres comerciales que aparecen se han mostrado debido a que muchos diabéticos conocen las insulinas por éstos nombres y no inducir a error si se pusiera el principio activo, en ningún caso tiene finalidad publicitaria.</w:t>
      </w:r>
    </w:p>
    <w:p w:rsidR="00EB09A6" w:rsidRPr="00434159" w:rsidRDefault="00434159" w:rsidP="00434159">
      <w:pPr>
        <w:pStyle w:val="NormalWeb"/>
        <w:shd w:val="clear" w:color="auto" w:fill="FFFFFF"/>
        <w:spacing w:before="75" w:beforeAutospacing="0" w:after="300" w:afterAutospacing="0"/>
      </w:pPr>
      <w:r>
        <w:rPr>
          <w:rFonts w:ascii="Arial" w:hAnsi="Arial" w:cs="Arial"/>
          <w:color w:val="282828"/>
          <w:sz w:val="18"/>
          <w:szCs w:val="18"/>
        </w:rPr>
        <w:t>Versión imprimible (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7" name="Imagen 7" descr="En formato Word">
              <a:hlinkClick xmlns:a="http://schemas.openxmlformats.org/drawingml/2006/main" r:id="rId15" tgtFrame="&quot;_blank&quot;" tooltip="&quot;Contenido Insulinas en formato Word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 formato Word">
                      <a:hlinkClick r:id="rId15" tgtFrame="&quot;_blank&quot;" tooltip="&quot;Contenido Insulinas en formato Word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, </w:t>
      </w:r>
      <w:r>
        <w:rPr>
          <w:rFonts w:ascii="Arial" w:hAnsi="Arial" w:cs="Arial"/>
          <w:noProof/>
          <w:color w:val="A41E0A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8" name="Imagen 8" descr="En formato PDF">
              <a:hlinkClick xmlns:a="http://schemas.openxmlformats.org/drawingml/2006/main" r:id="rId16" tgtFrame="&quot;_blank&quot;" tooltip="&quot;Contenido Insulinas en formato PDF&#10;(Se abre en nueva venta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 formato PDF">
                      <a:hlinkClick r:id="rId16" tgtFrame="&quot;_blank&quot;" tooltip="&quot;Contenido Insulinas en formato PDF&#10;(Se abre en nueva venta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82828"/>
          <w:sz w:val="18"/>
          <w:szCs w:val="18"/>
        </w:rPr>
        <w:t> )</w:t>
      </w:r>
    </w:p>
    <w:sectPr w:rsidR="00EB09A6" w:rsidRPr="00434159" w:rsidSect="00584F9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918" w:rsidRDefault="00680918" w:rsidP="00740DE1">
      <w:pPr>
        <w:spacing w:after="0" w:line="240" w:lineRule="auto"/>
      </w:pPr>
      <w:r>
        <w:separator/>
      </w:r>
    </w:p>
  </w:endnote>
  <w:endnote w:type="continuationSeparator" w:id="0">
    <w:p w:rsidR="00680918" w:rsidRDefault="00680918" w:rsidP="0074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E1" w:rsidRDefault="00740DE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E1" w:rsidRDefault="00740DE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E1" w:rsidRDefault="00740DE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918" w:rsidRDefault="00680918" w:rsidP="00740DE1">
      <w:pPr>
        <w:spacing w:after="0" w:line="240" w:lineRule="auto"/>
      </w:pPr>
      <w:r>
        <w:separator/>
      </w:r>
    </w:p>
  </w:footnote>
  <w:footnote w:type="continuationSeparator" w:id="0">
    <w:p w:rsidR="00680918" w:rsidRDefault="00680918" w:rsidP="0074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E1" w:rsidRDefault="00740DE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E1" w:rsidRDefault="00740DE1" w:rsidP="00740DE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0DE1" w:rsidRDefault="00740DE1" w:rsidP="00740DE1">
    <w:pPr>
      <w:jc w:val="center"/>
    </w:pPr>
    <w:r>
      <w:t>UNIDAD DE ENDOCRINOLOGÍA PEDIÁTRICA. UGC PEDIATRIA INTEGRAL</w:t>
    </w:r>
  </w:p>
  <w:p w:rsidR="00740DE1" w:rsidRDefault="00740DE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E1" w:rsidRDefault="00740D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566A7"/>
    <w:rsid w:val="000711A3"/>
    <w:rsid w:val="000D261C"/>
    <w:rsid w:val="00153B73"/>
    <w:rsid w:val="00170ED0"/>
    <w:rsid w:val="00214AB0"/>
    <w:rsid w:val="002A44A5"/>
    <w:rsid w:val="00373C72"/>
    <w:rsid w:val="00382C97"/>
    <w:rsid w:val="0038423F"/>
    <w:rsid w:val="003916A6"/>
    <w:rsid w:val="00395DAD"/>
    <w:rsid w:val="00434159"/>
    <w:rsid w:val="0048435C"/>
    <w:rsid w:val="00503F3C"/>
    <w:rsid w:val="00584F9D"/>
    <w:rsid w:val="005D2D9C"/>
    <w:rsid w:val="00604FFF"/>
    <w:rsid w:val="0060766E"/>
    <w:rsid w:val="006103D1"/>
    <w:rsid w:val="00625887"/>
    <w:rsid w:val="00626940"/>
    <w:rsid w:val="00680918"/>
    <w:rsid w:val="007048A3"/>
    <w:rsid w:val="00740DE1"/>
    <w:rsid w:val="00832CCC"/>
    <w:rsid w:val="008550C9"/>
    <w:rsid w:val="008B01C1"/>
    <w:rsid w:val="008B445F"/>
    <w:rsid w:val="00920D27"/>
    <w:rsid w:val="00AE0141"/>
    <w:rsid w:val="00B41994"/>
    <w:rsid w:val="00BB5D07"/>
    <w:rsid w:val="00BE1705"/>
    <w:rsid w:val="00BF6725"/>
    <w:rsid w:val="00C75315"/>
    <w:rsid w:val="00D07212"/>
    <w:rsid w:val="00D341FB"/>
    <w:rsid w:val="00D43414"/>
    <w:rsid w:val="00D566A7"/>
    <w:rsid w:val="00D75188"/>
    <w:rsid w:val="00DE24E1"/>
    <w:rsid w:val="00E01687"/>
    <w:rsid w:val="00E37F3F"/>
    <w:rsid w:val="00E7253A"/>
    <w:rsid w:val="00ED6C41"/>
    <w:rsid w:val="00F1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9D"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40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0DE1"/>
  </w:style>
  <w:style w:type="paragraph" w:styleId="Piedepgina">
    <w:name w:val="footer"/>
    <w:basedOn w:val="Normal"/>
    <w:link w:val="PiedepginaCar"/>
    <w:uiPriority w:val="99"/>
    <w:semiHidden/>
    <w:unhideWhenUsed/>
    <w:rsid w:val="00740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0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6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6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5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14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9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0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2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30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8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infantilcht.com/resources/CONSEJOS%20CONSERVACION.doc" TargetMode="External"/><Relationship Id="rId13" Type="http://schemas.openxmlformats.org/officeDocument/2006/relationships/hyperlink" Target="http://www.diabetesinfantilcht.com/resources/CONSEJOS%20VIAJES.pdf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://www.diabetesinfantilcht.com/resources/CONSEJOS%20VIAJES.doc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www.diabetesinfantilcht.com/resources/Insulinas.pdf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diabetesinfantilcht.com/resources/Tipos%20de%20insulina.ppsx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diabetesinfantilcht.com/resources/Insulinas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iabetesinfantilcht.com/resources/CONSEJOS%20CONSERVACION.pdf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diabetesinfantilcht.com/resources/TALLER%20INSULINA.ppsx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4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lamarca</cp:lastModifiedBy>
  <cp:revision>36</cp:revision>
  <cp:lastPrinted>2021-05-12T16:30:00Z</cp:lastPrinted>
  <dcterms:created xsi:type="dcterms:W3CDTF">2015-05-29T11:42:00Z</dcterms:created>
  <dcterms:modified xsi:type="dcterms:W3CDTF">2021-05-12T16:30:00Z</dcterms:modified>
</cp:coreProperties>
</file>